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555555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color w:val="555555"/>
          <w:sz w:val="16"/>
          <w:szCs w:val="16"/>
          <w:rtl w:val="0"/>
        </w:rPr>
        <w:t xml:space="preserve">Для обеспечения физической активности детей в помещениях ДОУ музыкальный зал  совмещается со спортивным,  имеется необходимое стандартное физкультурное оборудование: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гимнастические лестницы,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скамейки,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маты,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резиновые и надувные мячи,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обручи,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скакалки,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спортивный уголок (шведская стенка, кольца, канат, веревочная лестница)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туннели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дуги для подлезания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гимнастические палки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конусы с отверстиями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33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Имеется достаточное количество различных атрибутов для проведения корригирующих упражнений для коррекции осанки, плоскостопия: мячи, рукавички, мячи-прыгуны, массажные коврики и дорожки. </w:t>
      </w: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В каждой группе оборудованы спортивные уголки. Для организации работы на свежем воздухе есть спортивная площадка, полоса активного движения.</w:t>
      </w:r>
    </w:p>
    <w:p w:rsidR="00000000" w:rsidDel="00000000" w:rsidP="00000000" w:rsidRDefault="00000000" w:rsidRPr="00000000" w14:paraId="0000000F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